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rPr>
          <w:rFonts w:ascii="楷体" w:hAnsi="楷体" w:eastAsia="楷体"/>
        </w:rPr>
      </w:pPr>
      <w:r>
        <w:rPr>
          <w:rFonts w:ascii="楷体" w:hAnsi="楷体" w:eastAsia="楷体"/>
        </w:rPr>
        <w:drawing>
          <wp:anchor distT="0" distB="0" distL="114300" distR="114300" simplePos="0" relativeHeight="251659264" behindDoc="0" locked="0" layoutInCell="1" allowOverlap="1">
            <wp:simplePos x="0" y="0"/>
            <wp:positionH relativeFrom="column">
              <wp:posOffset>-205105</wp:posOffset>
            </wp:positionH>
            <wp:positionV relativeFrom="paragraph">
              <wp:posOffset>-496570</wp:posOffset>
            </wp:positionV>
            <wp:extent cx="2795905" cy="1019810"/>
            <wp:effectExtent l="0" t="0" r="4445" b="8890"/>
            <wp:wrapNone/>
            <wp:docPr id="4" name="图片 4" descr="组合规范2横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组合规范2横款"/>
                    <pic:cNvPicPr>
                      <a:picLocks noChangeAspect="1" noChangeArrowheads="1"/>
                    </pic:cNvPicPr>
                  </pic:nvPicPr>
                  <pic:blipFill>
                    <a:blip r:embed="rId7">
                      <a:extLst>
                        <a:ext uri="{28A0092B-C50C-407E-A947-70E740481C1C}">
                          <a14:useLocalDpi xmlns:a14="http://schemas.microsoft.com/office/drawing/2010/main" val="0"/>
                        </a:ext>
                      </a:extLst>
                    </a:blip>
                    <a:srcRect l="11823" t="36867" r="12770" b="35631"/>
                    <a:stretch>
                      <a:fillRect/>
                    </a:stretch>
                  </pic:blipFill>
                  <pic:spPr>
                    <a:xfrm>
                      <a:off x="0" y="0"/>
                      <a:ext cx="2795905" cy="1019810"/>
                    </a:xfrm>
                    <a:prstGeom prst="rect">
                      <a:avLst/>
                    </a:prstGeom>
                    <a:noFill/>
                  </pic:spPr>
                </pic:pic>
              </a:graphicData>
            </a:graphic>
          </wp:anchor>
        </w:drawing>
      </w:r>
    </w:p>
    <w:p>
      <w:pPr>
        <w:spacing w:line="280" w:lineRule="exact"/>
        <w:jc w:val="center"/>
        <w:rPr>
          <w:rFonts w:ascii="楷体" w:hAnsi="楷体" w:eastAsia="楷体"/>
          <w:b/>
          <w:sz w:val="44"/>
          <w:szCs w:val="44"/>
        </w:rPr>
      </w:pPr>
    </w:p>
    <w:p>
      <w:pPr>
        <w:spacing w:line="480" w:lineRule="auto"/>
        <w:jc w:val="center"/>
        <w:rPr>
          <w:rFonts w:ascii="楷体" w:hAnsi="楷体" w:eastAsia="楷体"/>
          <w:b/>
          <w:sz w:val="44"/>
          <w:szCs w:val="44"/>
        </w:rPr>
      </w:pPr>
    </w:p>
    <w:p>
      <w:pPr>
        <w:spacing w:line="480" w:lineRule="auto"/>
        <w:jc w:val="center"/>
        <w:rPr>
          <w:rFonts w:ascii="楷体" w:hAnsi="楷体" w:eastAsia="楷体"/>
          <w:b/>
          <w:sz w:val="44"/>
          <w:szCs w:val="44"/>
        </w:rPr>
      </w:pPr>
      <w:r>
        <w:rPr>
          <w:rFonts w:hint="eastAsia" w:ascii="楷体" w:hAnsi="楷体" w:eastAsia="楷体"/>
          <w:b/>
          <w:sz w:val="44"/>
          <w:szCs w:val="44"/>
        </w:rPr>
        <w:t>202</w:t>
      </w:r>
      <w:r>
        <w:rPr>
          <w:rFonts w:hint="eastAsia" w:ascii="楷体" w:hAnsi="楷体" w:eastAsia="楷体"/>
          <w:b/>
          <w:sz w:val="44"/>
          <w:szCs w:val="44"/>
          <w:lang w:val="en-US" w:eastAsia="zh-CN"/>
        </w:rPr>
        <w:t>2</w:t>
      </w:r>
      <w:r>
        <w:rPr>
          <w:rFonts w:hint="eastAsia" w:ascii="楷体" w:hAnsi="楷体" w:eastAsia="楷体"/>
          <w:b/>
          <w:sz w:val="44"/>
          <w:szCs w:val="44"/>
        </w:rPr>
        <w:t>年</w:t>
      </w:r>
      <w:r>
        <w:rPr>
          <w:rFonts w:hint="eastAsia" w:ascii="楷体" w:hAnsi="楷体" w:eastAsia="楷体"/>
          <w:b/>
          <w:sz w:val="44"/>
          <w:szCs w:val="44"/>
          <w:lang w:val="en-US" w:eastAsia="zh-CN"/>
        </w:rPr>
        <w:t>秋</w:t>
      </w:r>
      <w:r>
        <w:rPr>
          <w:rFonts w:hint="eastAsia" w:ascii="楷体" w:hAnsi="楷体" w:eastAsia="楷体"/>
          <w:b/>
          <w:sz w:val="44"/>
          <w:szCs w:val="44"/>
        </w:rPr>
        <w:t>季港澳台交换生</w:t>
      </w:r>
    </w:p>
    <w:p>
      <w:pPr>
        <w:spacing w:line="480" w:lineRule="auto"/>
        <w:jc w:val="center"/>
        <w:rPr>
          <w:rFonts w:ascii="楷体" w:hAnsi="楷体" w:eastAsia="楷体"/>
          <w:b/>
          <w:sz w:val="44"/>
          <w:szCs w:val="44"/>
        </w:rPr>
      </w:pPr>
      <w:r>
        <w:rPr>
          <w:rFonts w:hint="eastAsia" w:ascii="楷体" w:hAnsi="楷体" w:eastAsia="楷体"/>
          <w:b/>
          <w:sz w:val="44"/>
          <w:szCs w:val="44"/>
        </w:rPr>
        <w:t>招生简章</w:t>
      </w:r>
    </w:p>
    <w:p>
      <w:pPr>
        <w:spacing w:line="480" w:lineRule="auto"/>
        <w:rPr>
          <w:rFonts w:ascii="楷体" w:hAnsi="楷体" w:eastAsia="楷体"/>
          <w:b/>
          <w:sz w:val="44"/>
          <w:szCs w:val="44"/>
        </w:rPr>
      </w:pPr>
      <w:r>
        <w:rPr>
          <w:rFonts w:hint="eastAsia" w:ascii="楷体" w:hAnsi="楷体" w:eastAsia="楷体"/>
        </w:rPr>
        <w:drawing>
          <wp:anchor distT="0" distB="0" distL="114300" distR="114300" simplePos="0" relativeHeight="251660288" behindDoc="0" locked="0" layoutInCell="1" allowOverlap="1">
            <wp:simplePos x="0" y="0"/>
            <wp:positionH relativeFrom="column">
              <wp:posOffset>-206375</wp:posOffset>
            </wp:positionH>
            <wp:positionV relativeFrom="paragraph">
              <wp:posOffset>544830</wp:posOffset>
            </wp:positionV>
            <wp:extent cx="5600065" cy="3287395"/>
            <wp:effectExtent l="0" t="0" r="635" b="8255"/>
            <wp:wrapNone/>
            <wp:docPr id="5" name="图片 5" descr="C:\Users\328-pc1\AppData\Local\Microsoft\Windows\INetCache\Content.Word\未标题_全景图0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328-pc1\AppData\Local\Microsoft\Windows\INetCache\Content.Word\未标题_全景图00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00065" cy="3287395"/>
                    </a:xfrm>
                    <a:prstGeom prst="rect">
                      <a:avLst/>
                    </a:prstGeom>
                    <a:noFill/>
                    <a:ln>
                      <a:noFill/>
                    </a:ln>
                  </pic:spPr>
                </pic:pic>
              </a:graphicData>
            </a:graphic>
          </wp:anchor>
        </w:drawing>
      </w: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jc w:val="center"/>
        <w:rPr>
          <w:rFonts w:ascii="楷体" w:hAnsi="楷体" w:eastAsia="楷体"/>
          <w:b/>
          <w:sz w:val="44"/>
          <w:szCs w:val="4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rPr>
          <w:rFonts w:ascii="楷体" w:hAnsi="楷体" w:eastAsia="楷体"/>
          <w:b/>
          <w:szCs w:val="24"/>
        </w:rPr>
      </w:pPr>
    </w:p>
    <w:p>
      <w:pPr>
        <w:spacing w:line="280" w:lineRule="exact"/>
        <w:jc w:val="center"/>
        <w:rPr>
          <w:rFonts w:ascii="楷体" w:hAnsi="楷体" w:eastAsia="楷体"/>
          <w:b/>
          <w:szCs w:val="24"/>
        </w:rPr>
      </w:pPr>
    </w:p>
    <w:p>
      <w:pPr>
        <w:spacing w:line="280" w:lineRule="exact"/>
        <w:jc w:val="center"/>
        <w:rPr>
          <w:rFonts w:ascii="楷体" w:hAnsi="楷体" w:eastAsia="楷体"/>
          <w:b/>
          <w:szCs w:val="24"/>
        </w:rPr>
      </w:pPr>
    </w:p>
    <w:p>
      <w:pPr>
        <w:spacing w:line="280" w:lineRule="exact"/>
        <w:jc w:val="center"/>
        <w:rPr>
          <w:rFonts w:ascii="楷体" w:hAnsi="楷体" w:eastAsia="楷体"/>
          <w:b/>
          <w:szCs w:val="24"/>
        </w:rPr>
      </w:pPr>
    </w:p>
    <w:p>
      <w:pPr>
        <w:spacing w:line="280" w:lineRule="exact"/>
        <w:jc w:val="center"/>
        <w:rPr>
          <w:rFonts w:ascii="楷体" w:hAnsi="楷体" w:eastAsia="楷体"/>
          <w:b/>
          <w:szCs w:val="24"/>
        </w:rPr>
      </w:pPr>
      <w:r>
        <w:rPr>
          <w:rFonts w:hint="eastAsia" w:ascii="楷体" w:hAnsi="楷体" w:eastAsia="楷体"/>
          <w:b/>
          <w:szCs w:val="24"/>
        </w:rPr>
        <w:t>修读时间：202</w:t>
      </w:r>
      <w:r>
        <w:rPr>
          <w:rFonts w:hint="eastAsia" w:ascii="楷体" w:hAnsi="楷体" w:eastAsia="楷体"/>
          <w:b/>
          <w:szCs w:val="24"/>
          <w:lang w:val="en-US" w:eastAsia="zh-CN"/>
        </w:rPr>
        <w:t>2</w:t>
      </w:r>
      <w:r>
        <w:rPr>
          <w:rFonts w:hint="eastAsia" w:ascii="楷体" w:hAnsi="楷体" w:eastAsia="楷体"/>
          <w:b/>
          <w:szCs w:val="24"/>
        </w:rPr>
        <w:t>年</w:t>
      </w:r>
      <w:r>
        <w:rPr>
          <w:rFonts w:hint="eastAsia" w:ascii="楷体" w:hAnsi="楷体" w:eastAsia="楷体"/>
          <w:b/>
          <w:szCs w:val="24"/>
          <w:lang w:val="en-US" w:eastAsia="zh-CN"/>
        </w:rPr>
        <w:t>9</w:t>
      </w:r>
      <w:r>
        <w:rPr>
          <w:rFonts w:hint="eastAsia" w:ascii="楷体" w:hAnsi="楷体" w:eastAsia="楷体"/>
          <w:b/>
          <w:szCs w:val="24"/>
        </w:rPr>
        <w:t>月至202</w:t>
      </w:r>
      <w:r>
        <w:rPr>
          <w:rFonts w:hint="eastAsia" w:ascii="楷体" w:hAnsi="楷体" w:eastAsia="楷体"/>
          <w:b/>
          <w:szCs w:val="24"/>
          <w:lang w:val="en-US" w:eastAsia="zh-CN"/>
        </w:rPr>
        <w:t>3</w:t>
      </w:r>
      <w:r>
        <w:rPr>
          <w:rFonts w:hint="eastAsia" w:ascii="楷体" w:hAnsi="楷体" w:eastAsia="楷体"/>
          <w:b/>
          <w:szCs w:val="24"/>
        </w:rPr>
        <w:t>年</w:t>
      </w:r>
      <w:r>
        <w:rPr>
          <w:rFonts w:hint="eastAsia" w:ascii="楷体" w:hAnsi="楷体" w:eastAsia="楷体"/>
          <w:b/>
          <w:szCs w:val="24"/>
          <w:lang w:val="en-US" w:eastAsia="zh-CN"/>
        </w:rPr>
        <w:t>1</w:t>
      </w:r>
      <w:r>
        <w:rPr>
          <w:rFonts w:hint="eastAsia" w:ascii="楷体" w:hAnsi="楷体" w:eastAsia="楷体"/>
          <w:b/>
          <w:szCs w:val="24"/>
        </w:rPr>
        <w:t>月</w:t>
      </w:r>
    </w:p>
    <w:p>
      <w:pPr>
        <w:spacing w:line="280" w:lineRule="exact"/>
        <w:jc w:val="center"/>
        <w:rPr>
          <w:rFonts w:ascii="楷体" w:hAnsi="楷体" w:eastAsia="楷体"/>
        </w:rPr>
      </w:pPr>
      <w:r>
        <w:rPr>
          <w:rFonts w:hint="eastAsia" w:ascii="楷体" w:hAnsi="楷体" w:eastAsia="楷体"/>
          <w:b/>
          <w:szCs w:val="24"/>
        </w:rPr>
        <w:t>报名网址：</w:t>
      </w:r>
      <w:r>
        <w:fldChar w:fldCharType="begin"/>
      </w:r>
      <w:r>
        <w:instrText xml:space="preserve"> HYPERLINK "https://hmt.szu.edu.cn/exchange-project/114.html" \t "_blank" </w:instrText>
      </w:r>
      <w:r>
        <w:fldChar w:fldCharType="separate"/>
      </w:r>
      <w:r>
        <w:rPr>
          <w:rStyle w:val="14"/>
          <w:rFonts w:ascii="楷体" w:hAnsi="楷体" w:eastAsia="楷体" w:cs="Arial"/>
          <w:color w:val="62A8EA"/>
          <w:sz w:val="21"/>
          <w:szCs w:val="21"/>
          <w:shd w:val="clear" w:color="auto" w:fill="FFFFFF"/>
        </w:rPr>
        <w:t>hmt.szu.edu.cn/exchange-project/114.html</w:t>
      </w:r>
      <w:r>
        <w:rPr>
          <w:rStyle w:val="14"/>
          <w:rFonts w:ascii="楷体" w:hAnsi="楷体" w:eastAsia="楷体" w:cs="Arial"/>
          <w:color w:val="62A8EA"/>
          <w:sz w:val="21"/>
          <w:szCs w:val="21"/>
          <w:shd w:val="clear" w:color="auto" w:fill="FFFFFF"/>
        </w:rPr>
        <w:fldChar w:fldCharType="end"/>
      </w:r>
      <w:r>
        <w:rPr>
          <w:rFonts w:hint="eastAsia" w:ascii="楷体" w:hAnsi="楷体" w:eastAsia="楷体"/>
        </w:rPr>
        <w:t>（20</w:t>
      </w:r>
      <w:r>
        <w:rPr>
          <w:rFonts w:ascii="楷体" w:hAnsi="楷体" w:eastAsia="楷体"/>
        </w:rPr>
        <w:t>2</w:t>
      </w:r>
      <w:r>
        <w:rPr>
          <w:rFonts w:hint="eastAsia" w:ascii="楷体" w:hAnsi="楷体" w:eastAsia="楷体"/>
          <w:lang w:val="en-US" w:eastAsia="zh-CN"/>
        </w:rPr>
        <w:t>2</w:t>
      </w:r>
      <w:r>
        <w:rPr>
          <w:rFonts w:hint="eastAsia" w:ascii="楷体" w:hAnsi="楷体" w:eastAsia="楷体"/>
        </w:rPr>
        <w:t>/</w:t>
      </w:r>
      <w:r>
        <w:rPr>
          <w:rFonts w:hint="eastAsia" w:ascii="楷体" w:hAnsi="楷体" w:eastAsia="楷体"/>
          <w:lang w:val="en-US" w:eastAsia="zh-CN"/>
        </w:rPr>
        <w:t>3</w:t>
      </w:r>
      <w:r>
        <w:rPr>
          <w:rFonts w:ascii="楷体" w:hAnsi="楷体" w:eastAsia="楷体"/>
        </w:rPr>
        <w:t>/</w:t>
      </w:r>
      <w:r>
        <w:rPr>
          <w:rFonts w:hint="eastAsia" w:ascii="楷体" w:hAnsi="楷体" w:eastAsia="楷体"/>
          <w:lang w:val="en-US" w:eastAsia="zh-CN"/>
        </w:rPr>
        <w:t>10</w:t>
      </w:r>
      <w:r>
        <w:rPr>
          <w:rFonts w:ascii="楷体" w:hAnsi="楷体" w:eastAsia="楷体"/>
        </w:rPr>
        <w:t>-</w:t>
      </w:r>
      <w:r>
        <w:rPr>
          <w:rFonts w:hint="eastAsia" w:ascii="楷体" w:hAnsi="楷体" w:eastAsia="楷体"/>
          <w:lang w:val="en-US" w:eastAsia="zh-CN"/>
        </w:rPr>
        <w:t>4</w:t>
      </w:r>
      <w:r>
        <w:rPr>
          <w:rFonts w:ascii="楷体" w:hAnsi="楷体" w:eastAsia="楷体"/>
        </w:rPr>
        <w:t>/</w:t>
      </w:r>
      <w:r>
        <w:rPr>
          <w:rFonts w:hint="eastAsia" w:ascii="楷体" w:hAnsi="楷体" w:eastAsia="楷体"/>
          <w:lang w:val="en-US" w:eastAsia="zh-CN"/>
        </w:rPr>
        <w:t>2</w:t>
      </w:r>
      <w:r>
        <w:rPr>
          <w:rFonts w:ascii="楷体" w:hAnsi="楷体" w:eastAsia="楷体"/>
        </w:rPr>
        <w:t>0</w:t>
      </w:r>
      <w:r>
        <w:rPr>
          <w:rFonts w:hint="eastAsia" w:ascii="楷体" w:hAnsi="楷体" w:eastAsia="楷体"/>
        </w:rPr>
        <w:t>）</w:t>
      </w:r>
    </w:p>
    <w:p>
      <w:pPr>
        <w:pStyle w:val="5"/>
        <w:keepNext w:val="0"/>
        <w:keepLines w:val="0"/>
        <w:spacing w:line="280" w:lineRule="exact"/>
        <w:ind w:left="357"/>
        <w:rPr>
          <w:rFonts w:ascii="楷体" w:hAnsi="楷体"/>
        </w:rPr>
      </w:pPr>
      <w:r>
        <w:rPr>
          <w:rFonts w:hint="eastAsia" w:ascii="楷体" w:hAnsi="楷体"/>
          <w:kern w:val="0"/>
        </w:rPr>
        <w:t>一</w:t>
      </w:r>
      <w:r>
        <w:rPr>
          <w:rFonts w:ascii="楷体" w:hAnsi="楷体"/>
          <w:kern w:val="0"/>
        </w:rPr>
        <w:t>、</w:t>
      </w:r>
      <w:r>
        <w:rPr>
          <w:rFonts w:hint="eastAsia" w:ascii="楷体" w:hAnsi="楷体"/>
          <w:spacing w:val="134"/>
          <w:kern w:val="0"/>
          <w:fitText w:val="3029" w:id="439168273"/>
        </w:rPr>
        <w:t>深圳大学简</w:t>
      </w:r>
      <w:r>
        <w:rPr>
          <w:rFonts w:hint="eastAsia" w:ascii="楷体" w:hAnsi="楷体"/>
          <w:spacing w:val="4"/>
          <w:kern w:val="0"/>
          <w:fitText w:val="3029" w:id="439168273"/>
        </w:rPr>
        <w:t>介</w:t>
      </w:r>
    </w:p>
    <w:p>
      <w:pPr>
        <w:spacing w:line="280" w:lineRule="exact"/>
        <w:ind w:left="-424" w:leftChars="-123" w:right="-365" w:rightChars="-106" w:firstLine="690" w:firstLineChars="200"/>
        <w:rPr>
          <w:rFonts w:ascii="楷体" w:hAnsi="楷体" w:eastAsia="楷体"/>
          <w:b/>
        </w:rPr>
      </w:pPr>
      <w:r>
        <w:rPr>
          <w:rFonts w:hint="eastAsia" w:ascii="楷体" w:hAnsi="楷体" w:eastAsia="楷体"/>
          <w:b/>
        </w:rPr>
        <w:t>深圳大学——特区大学、窗口大学、实验大学</w:t>
      </w:r>
    </w:p>
    <w:p>
      <w:pPr>
        <w:spacing w:line="280" w:lineRule="exact"/>
        <w:ind w:left="-424" w:leftChars="-123" w:right="-365" w:rightChars="-106" w:firstLine="690" w:firstLineChars="200"/>
        <w:rPr>
          <w:rFonts w:ascii="楷体" w:hAnsi="楷体" w:eastAsia="楷体"/>
          <w:b/>
        </w:rPr>
      </w:pPr>
      <w:r>
        <w:rPr>
          <w:rFonts w:ascii="楷体" w:hAnsi="楷体" w:eastAsia="楷体"/>
          <w:b/>
        </w:rPr>
        <w:t xml:space="preserve"> </w:t>
      </w:r>
    </w:p>
    <w:p>
      <w:pPr>
        <w:spacing w:line="280" w:lineRule="exact"/>
        <w:ind w:left="-424" w:leftChars="-123" w:right="-365" w:rightChars="-106" w:firstLine="690" w:firstLineChars="200"/>
        <w:rPr>
          <w:rFonts w:ascii="楷体" w:hAnsi="楷体" w:eastAsia="楷体"/>
          <w:b/>
        </w:rPr>
      </w:pPr>
    </w:p>
    <w:p>
      <w:pPr>
        <w:spacing w:line="280" w:lineRule="exact"/>
        <w:ind w:left="-424" w:leftChars="-123" w:right="-365" w:rightChars="-106" w:firstLine="690" w:firstLineChars="200"/>
        <w:rPr>
          <w:rFonts w:ascii="楷体" w:hAnsi="楷体" w:eastAsia="楷体"/>
          <w:szCs w:val="24"/>
        </w:rPr>
      </w:pPr>
      <w:r>
        <w:rPr>
          <w:rFonts w:hint="eastAsia" w:ascii="楷体" w:hAnsi="楷体" w:eastAsia="楷体"/>
          <w:szCs w:val="24"/>
        </w:rPr>
        <w:t>深圳大学1983年经国家教育部批准设立，肩负着为特区培养人才和为国家高等教育改革探路的光荣使命。中央、教育部和地方高度重视深圳大学建设，组织北大援建中文、外语类学科，清华援建电子、建筑类学科，人大援建经济、法律类学科，一大批知名学者云集深圳大学。建校伊始，学校在高校管理体制上锐意改革，在奖学金、学分制、勤工俭学等方面进行了积极探索，率先在国内实行毕业生不包分配和双向选择制度，推行教职员工全员聘任制度和后勤部门社会化管理改革，为中国高等教育改革做出了重要贡献。深圳大学是国家大学生文化素质教育基地、全国文明校园。</w:t>
      </w: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建校39年，深圳大学秉承“自立、自律、自强”的校训，紧随特区，锐意改革、快速发展，在较短的时间内形成了从学士、硕士到博士的完整人才培养体系以及多层次的科学研究和社会服务体系，形成了“特区大学、窗口大学、实验大学”的办学特色，培养了20多万各类创新创业人才，95%以上扎根粤港澳大湾区，为特区发展和国家现代化建设做出了重要贡献。特别是进入新时代以来，学校实施高水平大学建设发展战略，成为内地进步最快的大学之一，综合实力得到全面快速提升，实现了从本科教学型大学向教学科研并重型大学的转型，创新创业人才培养、人事管理体制等领域的改革走在全国前列。目前，学校已经成为一所特色鲜明、实力雄厚、在国内外具有良好声誉和重要影响力的高水平综合性大学。</w:t>
      </w:r>
    </w:p>
    <w:p>
      <w:pPr>
        <w:spacing w:line="280" w:lineRule="exact"/>
        <w:ind w:left="-424" w:leftChars="-123" w:right="-365" w:rightChars="-106" w:firstLine="690" w:firstLineChars="200"/>
        <w:rPr>
          <w:rFonts w:ascii="楷体" w:hAnsi="楷体" w:eastAsia="楷体"/>
          <w:szCs w:val="24"/>
        </w:rPr>
      </w:pPr>
    </w:p>
    <w:p>
      <w:pPr>
        <w:spacing w:line="280" w:lineRule="exact"/>
        <w:ind w:left="-424" w:leftChars="-123" w:right="-365" w:rightChars="-106" w:firstLine="690" w:firstLineChars="200"/>
        <w:rPr>
          <w:rFonts w:ascii="楷体" w:hAnsi="楷体" w:eastAsia="楷体"/>
          <w:szCs w:val="24"/>
        </w:rPr>
      </w:pPr>
      <w:r>
        <w:rPr>
          <w:rFonts w:ascii="楷体" w:hAnsi="楷体" w:eastAsia="楷体"/>
          <w:szCs w:val="24"/>
        </w:rPr>
        <w:t>深圳大学现有粤海、丽湖两个校区，校园总面积2.72平方公里。学校教学资源丰富，科研设施齐备。校园总建筑面积187.4万平方米，教学、科研仪器设备总值37亿元。图书馆馆舍51202㎡（含丽湖校区图书馆一期），全校纸本资源440万余册；数据库418种，含全文电子图书284万余册，全文电子期刊13.17万种。现有国家级本科专业综合改革试点1个，国家级人才培养模式创新实验区1个，国家级实践教学基地1个。国家级实验教学示范中心2个，国家级虚拟仿真实验教学中心1个，省级实验教学示范中心18个，省级虚拟仿真实验教学中心3个。建有国家工程实验室3个，国家工程技术研究中心1个，教育部重点实验室3个，科技部国际合作基地1个，省级重点实验室12个。</w:t>
      </w: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深圳大学现有在校生41164人，其中本科生28425人、硕士研究生11887人、博士研究生561人、留学生291人，成人教育学生24714人。学校学科门类齐全、综合性强，涵盖哲学、文学、经济学、法学、教育学、理学、工学、管理学、医学、历史学、艺术学等11个学科门类。学校设有27个学院，100个本科专业，2所直属附属医院。现有国家级特色专业5个，省级特色专业15个；有省级重点学科15个。有博士学位授权一级学科点17个；博士后科研流动站9个，博士后工作站1个。有硕士学位授权一级学科38个；有专业硕士学位授权类别27个。工程学、临床医学、材料科学、生物学与生物化学、计算机科学、化学、物理学、社会科学总论、环境科学/生态学、药理学与毒理学、农业科学、植物学与动物学进入ESI学科世界排名前1%，在中国高校扩展版ESI高被引论文排行榜中位列第48位。学校发起组建“全国地方高校UOOC联盟”，加盟高校达136所，上线课程690门，选课学校累计765所，累计选课人次突破155万。。</w:t>
      </w:r>
    </w:p>
    <w:p>
      <w:pPr>
        <w:spacing w:line="280" w:lineRule="exact"/>
        <w:ind w:left="-424" w:leftChars="-123" w:right="-365" w:rightChars="-106" w:firstLine="690" w:firstLineChars="200"/>
        <w:rPr>
          <w:rFonts w:hint="eastAsia" w:ascii="楷体" w:hAnsi="楷体" w:eastAsia="楷体"/>
          <w:szCs w:val="24"/>
        </w:rPr>
      </w:pPr>
    </w:p>
    <w:p>
      <w:pPr>
        <w:spacing w:line="280" w:lineRule="exact"/>
        <w:ind w:left="-424" w:leftChars="-123" w:right="-365" w:rightChars="-106" w:firstLine="690" w:firstLineChars="200"/>
        <w:rPr>
          <w:rFonts w:hint="eastAsia" w:ascii="楷体" w:hAnsi="楷体" w:eastAsia="楷体"/>
          <w:szCs w:val="24"/>
        </w:rPr>
      </w:pPr>
      <w:r>
        <w:rPr>
          <w:rFonts w:hint="eastAsia" w:ascii="楷体" w:hAnsi="楷体" w:eastAsia="楷体"/>
          <w:szCs w:val="24"/>
        </w:rPr>
        <w:t>学校积极推进“国际化人才培养、国际化科研合作、国际化师资建设、国际文化交流”，目前与境外280所高校签署了协议，开展学生交换、教师研修和科技交流、合作办学等多种形式的国际合作，并积极吸纳全球留学生就读深造，打造学校国际化氛围，全面提升国际交流质量和层次。</w:t>
      </w:r>
    </w:p>
    <w:p>
      <w:pPr>
        <w:spacing w:line="280" w:lineRule="exact"/>
        <w:ind w:left="-424" w:leftChars="-123" w:right="-365" w:rightChars="-106" w:firstLine="690" w:firstLineChars="200"/>
        <w:rPr>
          <w:rFonts w:hint="eastAsia" w:ascii="楷体" w:hAnsi="楷体" w:eastAsia="楷体"/>
          <w:szCs w:val="24"/>
        </w:rPr>
      </w:pPr>
    </w:p>
    <w:p>
      <w:pPr>
        <w:spacing w:line="280" w:lineRule="exact"/>
        <w:ind w:left="-424" w:leftChars="-123" w:right="-365" w:rightChars="-106" w:firstLine="690" w:firstLineChars="200"/>
        <w:rPr>
          <w:rFonts w:hint="eastAsia" w:ascii="楷体" w:hAnsi="楷体" w:eastAsia="楷体"/>
          <w:szCs w:val="24"/>
          <w:lang w:eastAsia="zh-CN"/>
        </w:rPr>
      </w:pPr>
      <w:r>
        <w:rPr>
          <w:rFonts w:hint="eastAsia" w:ascii="楷体" w:hAnsi="楷体" w:eastAsia="楷体"/>
          <w:szCs w:val="24"/>
          <w:lang w:eastAsia="zh-CN"/>
        </w:rPr>
        <w:t>当前，深圳大学积极服务粤港澳大湾区和深圳先行示范区建设等国家重大战略需求，坚持文化引领，强化创新驱动，追求内涵发展，加快创建世界一流创新型大学，为建设新时代中国特色社会主义标杆大学而努力奋斗！</w:t>
      </w:r>
    </w:p>
    <w:p>
      <w:pPr>
        <w:pStyle w:val="5"/>
        <w:keepNext w:val="0"/>
        <w:keepLines w:val="0"/>
        <w:numPr>
          <w:ilvl w:val="0"/>
          <w:numId w:val="1"/>
        </w:numPr>
        <w:spacing w:line="280" w:lineRule="exact"/>
        <w:ind w:left="811" w:hanging="811"/>
        <w:rPr>
          <w:rFonts w:ascii="楷体" w:hAnsi="楷体"/>
          <w:szCs w:val="24"/>
        </w:rPr>
      </w:pPr>
      <w:r>
        <w:rPr>
          <w:rFonts w:hint="eastAsia" w:ascii="楷体" w:hAnsi="楷体"/>
        </w:rPr>
        <w:t>选课要求</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1. </w:t>
      </w:r>
      <w:r>
        <w:rPr>
          <w:rFonts w:hint="eastAsia" w:ascii="楷体" w:hAnsi="楷体" w:eastAsia="楷体" w:cs="楷体"/>
          <w:szCs w:val="28"/>
        </w:rPr>
        <w:t>可以选修深圳大学所开设的全部课程(体育课、钢琴课除外)。</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2. </w:t>
      </w:r>
      <w:r>
        <w:rPr>
          <w:rFonts w:hint="eastAsia" w:ascii="楷体" w:hAnsi="楷体" w:eastAsia="楷体" w:cs="楷体"/>
          <w:szCs w:val="28"/>
        </w:rPr>
        <w:t>要求每学期最低修读</w:t>
      </w:r>
      <w:r>
        <w:rPr>
          <w:rFonts w:hint="eastAsia" w:ascii="楷体" w:hAnsi="楷体" w:eastAsia="楷体" w:cs="楷体"/>
          <w:b/>
          <w:color w:val="FF0000"/>
          <w:szCs w:val="28"/>
        </w:rPr>
        <w:t>8</w:t>
      </w:r>
      <w:r>
        <w:rPr>
          <w:rFonts w:hint="eastAsia" w:ascii="楷体" w:hAnsi="楷体" w:eastAsia="楷体" w:cs="楷体"/>
          <w:szCs w:val="28"/>
        </w:rPr>
        <w:t>个学分，最高修读</w:t>
      </w:r>
      <w:r>
        <w:rPr>
          <w:rFonts w:ascii="楷体" w:hAnsi="楷体" w:eastAsia="楷体" w:cs="楷体"/>
          <w:b/>
          <w:color w:val="FF0000"/>
          <w:szCs w:val="28"/>
        </w:rPr>
        <w:t>28</w:t>
      </w:r>
      <w:r>
        <w:rPr>
          <w:rFonts w:hint="eastAsia" w:ascii="楷体" w:hAnsi="楷体" w:eastAsia="楷体" w:cs="楷体"/>
          <w:szCs w:val="28"/>
        </w:rPr>
        <w:t>个学分。</w:t>
      </w:r>
    </w:p>
    <w:p>
      <w:pPr>
        <w:pStyle w:val="16"/>
        <w:spacing w:line="280" w:lineRule="exact"/>
        <w:ind w:firstLine="0" w:firstLineChars="0"/>
        <w:rPr>
          <w:rFonts w:ascii="楷体" w:hAnsi="楷体" w:eastAsia="楷体" w:cs="楷体"/>
          <w:szCs w:val="28"/>
        </w:rPr>
      </w:pPr>
      <w:r>
        <w:rPr>
          <w:rFonts w:ascii="楷体" w:hAnsi="楷体" w:eastAsia="楷体" w:cs="楷体"/>
          <w:b/>
          <w:szCs w:val="28"/>
        </w:rPr>
        <w:t xml:space="preserve">3. </w:t>
      </w:r>
      <w:r>
        <w:rPr>
          <w:rFonts w:hint="eastAsia" w:ascii="楷体" w:hAnsi="楷体" w:eastAsia="楷体" w:cs="楷体"/>
          <w:szCs w:val="28"/>
        </w:rPr>
        <w:t>学生需在报名网站备注自己的专业，开学之后，可通过深圳大学选课网站选择修读的课程。如在选课过程中遇到任何问题，可联系深圳大学港澳台事务办公室老师协助。课程选定之后，原则上</w:t>
      </w:r>
      <w:r>
        <w:rPr>
          <w:rFonts w:hint="eastAsia" w:ascii="楷体" w:hAnsi="楷体" w:eastAsia="楷体" w:cs="楷体"/>
          <w:color w:val="FF0000"/>
          <w:szCs w:val="28"/>
        </w:rPr>
        <w:t>不可以</w:t>
      </w:r>
      <w:r>
        <w:rPr>
          <w:rFonts w:hint="eastAsia" w:ascii="楷体" w:hAnsi="楷体" w:eastAsia="楷体" w:cs="楷体"/>
          <w:szCs w:val="28"/>
        </w:rPr>
        <w:t>更改。如果需要更改，请在选课期间及时通知港澳台事务办公室负责老师。选课结束之后，所选课程不可以更改。</w:t>
      </w:r>
    </w:p>
    <w:p>
      <w:pPr>
        <w:spacing w:line="280" w:lineRule="exact"/>
        <w:rPr>
          <w:rFonts w:ascii="楷体" w:hAnsi="楷体" w:eastAsia="楷体" w:cs="楷体"/>
          <w:szCs w:val="28"/>
        </w:rPr>
      </w:pPr>
    </w:p>
    <w:p>
      <w:pPr>
        <w:pStyle w:val="5"/>
        <w:keepNext w:val="0"/>
        <w:keepLines w:val="0"/>
        <w:spacing w:line="280" w:lineRule="exact"/>
        <w:rPr>
          <w:rFonts w:ascii="楷体" w:hAnsi="楷体"/>
        </w:rPr>
      </w:pPr>
      <w:r>
        <w:rPr>
          <w:rFonts w:hint="eastAsia" w:ascii="楷体" w:hAnsi="楷体"/>
        </w:rPr>
        <w:t>三、地理位置</w:t>
      </w:r>
    </w:p>
    <w:p>
      <w:pPr>
        <w:spacing w:line="280" w:lineRule="exact"/>
        <w:ind w:firstLine="506" w:firstLineChars="147"/>
        <w:rPr>
          <w:rFonts w:hint="eastAsia" w:ascii="楷体" w:hAnsi="楷体" w:eastAsia="楷体"/>
        </w:rPr>
      </w:pPr>
      <w:r>
        <w:rPr>
          <w:rFonts w:hint="eastAsia" w:ascii="楷体" w:hAnsi="楷体" w:eastAsia="楷体"/>
        </w:rPr>
        <w:t>深圳大学坐落于深圳市南山区，</w:t>
      </w:r>
      <w:r>
        <w:rPr>
          <w:rFonts w:ascii="楷体" w:hAnsi="楷体" w:eastAsia="楷体"/>
        </w:rPr>
        <w:t>南山区是深圳的科研、教育、体育中心，是深圳大学城、深圳市高新技术产业园、深圳湾体育中心所在地。南山区旅游资源丰富，有深圳华侨城、世界之窗、欢乐谷、锦绣中华，海上世界、新安古城、青青世界、深圳野生动物园、南头古城等主题公园和著名景点。</w:t>
      </w:r>
    </w:p>
    <w:p>
      <w:pPr>
        <w:pStyle w:val="5"/>
        <w:keepNext w:val="0"/>
        <w:keepLines w:val="0"/>
        <w:spacing w:line="280" w:lineRule="exact"/>
        <w:rPr>
          <w:rFonts w:ascii="楷体" w:hAnsi="楷体"/>
        </w:rPr>
      </w:pPr>
      <w:r>
        <w:rPr>
          <w:rFonts w:hint="eastAsia" w:ascii="楷体" w:hAnsi="楷体"/>
        </w:rPr>
        <w:t>四、饮食与交通</w:t>
      </w:r>
    </w:p>
    <w:p>
      <w:pPr>
        <w:spacing w:line="280" w:lineRule="exact"/>
        <w:ind w:firstLine="690" w:firstLineChars="200"/>
        <w:rPr>
          <w:rFonts w:ascii="楷体" w:hAnsi="楷体" w:eastAsia="楷体"/>
        </w:rPr>
      </w:pPr>
      <w:r>
        <w:rPr>
          <w:rFonts w:hint="eastAsia" w:ascii="楷体" w:hAnsi="楷体" w:eastAsia="楷体"/>
          <w:b/>
        </w:rPr>
        <w:t>饮食：</w:t>
      </w:r>
      <w:r>
        <w:rPr>
          <w:rFonts w:hint="eastAsia" w:ascii="楷体" w:hAnsi="楷体" w:eastAsia="楷体"/>
        </w:rPr>
        <w:t>深圳大学共有十余个</w:t>
      </w:r>
      <w:r>
        <w:rPr>
          <w:rFonts w:ascii="楷体" w:hAnsi="楷体" w:eastAsia="楷体"/>
        </w:rPr>
        <w:t>学生</w:t>
      </w:r>
      <w:r>
        <w:rPr>
          <w:rFonts w:hint="eastAsia" w:ascii="楷体" w:hAnsi="楷体" w:eastAsia="楷体"/>
        </w:rPr>
        <w:t>餐厅，可提供丰富的美食，学校周边亦有各色美味小吃。</w:t>
      </w:r>
    </w:p>
    <w:p>
      <w:pPr>
        <w:spacing w:line="280" w:lineRule="exact"/>
        <w:ind w:firstLine="690" w:firstLineChars="200"/>
        <w:rPr>
          <w:rFonts w:ascii="楷体" w:hAnsi="楷体" w:eastAsia="楷体"/>
        </w:rPr>
      </w:pPr>
      <w:r>
        <w:rPr>
          <w:rFonts w:hint="eastAsia" w:ascii="楷体" w:hAnsi="楷体" w:eastAsia="楷体"/>
        </w:rPr>
        <w:t>校外交通便利，可乘地铁、公交至附近商圈。所有公共交通可使用</w:t>
      </w:r>
      <w:r>
        <w:rPr>
          <w:rFonts w:hint="eastAsia" w:ascii="楷体" w:hAnsi="楷体" w:eastAsia="楷体"/>
          <w:b/>
          <w:color w:val="4472C4" w:themeColor="accent1"/>
          <w14:textFill>
            <w14:solidFill>
              <w14:schemeClr w14:val="accent1"/>
            </w14:solidFill>
          </w14:textFill>
        </w:rPr>
        <w:t>深圳通</w:t>
      </w:r>
      <w:r>
        <w:rPr>
          <w:rFonts w:hint="eastAsia" w:ascii="楷体" w:hAnsi="楷体" w:eastAsia="楷体"/>
        </w:rPr>
        <w:t>付费。</w:t>
      </w:r>
    </w:p>
    <w:p>
      <w:pPr>
        <w:spacing w:line="280" w:lineRule="exact"/>
        <w:rPr>
          <w:rFonts w:ascii="楷体" w:hAnsi="楷体" w:eastAsia="楷体"/>
        </w:rPr>
      </w:pPr>
      <w:r>
        <w:rPr>
          <w:rFonts w:hint="eastAsia" w:ascii="楷体" w:hAnsi="楷体" w:eastAsia="楷体"/>
        </w:rPr>
        <w:t>（</w:t>
      </w:r>
      <w:r>
        <w:fldChar w:fldCharType="begin"/>
      </w:r>
      <w:r>
        <w:instrText xml:space="preserve"> HYPERLINK "https://www.shenzhentong.com/index.html" </w:instrText>
      </w:r>
      <w:r>
        <w:fldChar w:fldCharType="separate"/>
      </w:r>
      <w:r>
        <w:rPr>
          <w:rStyle w:val="14"/>
          <w:rFonts w:ascii="楷体" w:hAnsi="楷体" w:eastAsia="楷体" w:cstheme="minorBidi"/>
        </w:rPr>
        <w:t>https://www.shenzhentong.com/index.html</w:t>
      </w:r>
      <w:r>
        <w:rPr>
          <w:rStyle w:val="14"/>
          <w:rFonts w:ascii="楷体" w:hAnsi="楷体" w:eastAsia="楷体" w:cstheme="minorBidi"/>
        </w:rPr>
        <w:fldChar w:fldCharType="end"/>
      </w:r>
      <w:r>
        <w:rPr>
          <w:rFonts w:hint="eastAsia" w:ascii="楷体" w:hAnsi="楷体" w:eastAsia="楷体"/>
        </w:rPr>
        <w:t>）</w:t>
      </w:r>
    </w:p>
    <w:p>
      <w:pPr>
        <w:spacing w:line="280" w:lineRule="exact"/>
        <w:rPr>
          <w:rFonts w:ascii="楷体" w:hAnsi="楷体" w:eastAsia="楷体"/>
          <w:b/>
        </w:rPr>
      </w:pPr>
      <w:r>
        <w:rPr>
          <w:rFonts w:hint="eastAsia" w:ascii="楷体" w:hAnsi="楷体" w:eastAsia="楷体"/>
        </w:rPr>
        <w:t xml:space="preserve">   </w:t>
      </w:r>
      <w:r>
        <w:rPr>
          <w:rFonts w:hint="eastAsia" w:ascii="楷体" w:hAnsi="楷体" w:eastAsia="楷体"/>
          <w:b/>
        </w:rPr>
        <w:t xml:space="preserve"> 交通：</w:t>
      </w:r>
    </w:p>
    <w:p>
      <w:pPr>
        <w:spacing w:line="280" w:lineRule="exact"/>
        <w:ind w:left="851"/>
        <w:rPr>
          <w:rFonts w:ascii="楷体" w:hAnsi="楷体" w:eastAsia="楷体"/>
          <w:b/>
        </w:rPr>
      </w:pPr>
      <w:r>
        <w:rPr>
          <w:rFonts w:hint="eastAsia" w:ascii="楷体" w:hAnsi="楷体" w:eastAsia="楷体"/>
          <w:b/>
        </w:rPr>
        <w:t>a.巴士：深圳大学西门公交站（站名：深圳大学）</w:t>
      </w:r>
    </w:p>
    <w:p>
      <w:pPr>
        <w:spacing w:line="280" w:lineRule="exact"/>
        <w:rPr>
          <w:rFonts w:ascii="楷体" w:hAnsi="楷体" w:eastAsia="楷体"/>
        </w:rPr>
      </w:pPr>
      <w:r>
        <w:rPr>
          <w:rFonts w:hint="eastAsia" w:ascii="楷体" w:hAnsi="楷体" w:eastAsia="楷体"/>
        </w:rPr>
        <w:t>乘坐</w:t>
      </w:r>
      <w:r>
        <w:rPr>
          <w:rFonts w:ascii="楷体" w:hAnsi="楷体" w:eastAsia="楷体"/>
        </w:rPr>
        <w:t>70路/113路/m398路至世界之窗站，附近为华侨城商圈。</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乘坐</w:t>
      </w:r>
      <w:r>
        <w:rPr>
          <w:rFonts w:ascii="楷体" w:hAnsi="楷体" w:eastAsia="楷体"/>
        </w:rPr>
        <w:t>m453路至票务中心站，附近为欢乐海岸商圈。</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对向乘坐</w:t>
      </w:r>
      <w:r>
        <w:rPr>
          <w:rFonts w:ascii="楷体" w:hAnsi="楷体" w:eastAsia="楷体"/>
        </w:rPr>
        <w:t>226路/113路/m448路可至海上世界站，附近为蛇口商圈，也可在蛇口码头坐船至香港/澳门。</w:t>
      </w:r>
    </w:p>
    <w:p>
      <w:pPr>
        <w:spacing w:line="280" w:lineRule="exact"/>
        <w:rPr>
          <w:rFonts w:ascii="楷体" w:hAnsi="楷体" w:eastAsia="楷体"/>
        </w:rPr>
      </w:pPr>
    </w:p>
    <w:p>
      <w:pPr>
        <w:spacing w:line="280" w:lineRule="exact"/>
        <w:rPr>
          <w:rFonts w:ascii="楷体" w:hAnsi="楷体" w:eastAsia="楷体"/>
        </w:rPr>
      </w:pPr>
      <w:r>
        <w:rPr>
          <w:rFonts w:hint="eastAsia" w:ascii="楷体" w:hAnsi="楷体" w:eastAsia="楷体"/>
        </w:rPr>
        <w:t>对向乘坐</w:t>
      </w:r>
      <w:r>
        <w:rPr>
          <w:rFonts w:ascii="楷体" w:hAnsi="楷体" w:eastAsia="楷体"/>
        </w:rPr>
        <w:t>19路/m222/m475路可至海岸城站，附近为海岸城商圈。</w:t>
      </w:r>
    </w:p>
    <w:p>
      <w:pPr>
        <w:spacing w:line="280" w:lineRule="exact"/>
        <w:rPr>
          <w:rFonts w:ascii="楷体" w:hAnsi="楷体" w:eastAsia="楷体"/>
        </w:rPr>
      </w:pPr>
    </w:p>
    <w:p>
      <w:pPr>
        <w:spacing w:line="280" w:lineRule="exact"/>
        <w:ind w:firstLine="1006" w:firstLineChars="292"/>
        <w:rPr>
          <w:rFonts w:ascii="楷体" w:hAnsi="楷体" w:eastAsia="楷体"/>
          <w:b/>
        </w:rPr>
      </w:pPr>
      <w:r>
        <w:rPr>
          <w:rFonts w:hint="eastAsia" w:ascii="楷体" w:hAnsi="楷体" w:eastAsia="楷体"/>
          <w:b/>
        </w:rPr>
        <w:t>b.深圳地铁</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lang w:val="en-US" w:eastAsia="zh-CN"/>
        </w:rPr>
      </w:pPr>
      <w:r>
        <w:rPr>
          <w:rFonts w:hint="eastAsia" w:ascii="楷体" w:hAnsi="楷体" w:eastAsia="楷体"/>
          <w:lang w:val="en-US" w:eastAsia="zh-CN"/>
        </w:rPr>
        <w:t>网站：</w:t>
      </w:r>
      <w:r>
        <w:rPr>
          <w:rFonts w:hint="eastAsia" w:ascii="楷体" w:hAnsi="楷体" w:eastAsia="楷体"/>
          <w:lang w:val="en-US" w:eastAsia="zh-CN"/>
        </w:rPr>
        <w:fldChar w:fldCharType="begin"/>
      </w:r>
      <w:r>
        <w:rPr>
          <w:rFonts w:hint="eastAsia" w:ascii="楷体" w:hAnsi="楷体" w:eastAsia="楷体"/>
          <w:lang w:val="en-US" w:eastAsia="zh-CN"/>
        </w:rPr>
        <w:instrText xml:space="preserve"> HYPERLINK "https://map.baidu.com/@12687698,2579430,13z" </w:instrText>
      </w:r>
      <w:r>
        <w:rPr>
          <w:rFonts w:hint="eastAsia" w:ascii="楷体" w:hAnsi="楷体" w:eastAsia="楷体"/>
          <w:lang w:val="en-US" w:eastAsia="zh-CN"/>
        </w:rPr>
        <w:fldChar w:fldCharType="separate"/>
      </w:r>
      <w:r>
        <w:rPr>
          <w:rStyle w:val="14"/>
          <w:rFonts w:hint="eastAsia" w:ascii="楷体" w:hAnsi="楷体" w:eastAsia="楷体"/>
          <w:lang w:val="en-US" w:eastAsia="zh-CN"/>
        </w:rPr>
        <w:t>https://map.baidu.com/@12687698,2579430,13z</w:t>
      </w:r>
      <w:r>
        <w:rPr>
          <w:rFonts w:hint="eastAsia" w:ascii="楷体" w:hAnsi="楷体" w:eastAsia="楷体"/>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b/>
        </w:rPr>
      </w:pPr>
      <w:r>
        <w:rPr>
          <w:rFonts w:hint="eastAsia" w:ascii="楷体" w:hAnsi="楷体" w:eastAsia="楷体"/>
          <w:lang w:val="en-US" w:eastAsia="zh-CN"/>
        </w:rPr>
        <w:drawing>
          <wp:inline distT="0" distB="0" distL="114300" distR="114300">
            <wp:extent cx="6089015" cy="4165600"/>
            <wp:effectExtent l="0" t="0" r="6985" b="10160"/>
            <wp:docPr id="8" name="图片 8" descr="1646816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6816285(1)"/>
                    <pic:cNvPicPr>
                      <a:picLocks noChangeAspect="1"/>
                    </pic:cNvPicPr>
                  </pic:nvPicPr>
                  <pic:blipFill>
                    <a:blip r:embed="rId9"/>
                    <a:stretch>
                      <a:fillRect/>
                    </a:stretch>
                  </pic:blipFill>
                  <pic:spPr>
                    <a:xfrm>
                      <a:off x="0" y="0"/>
                      <a:ext cx="6089015" cy="4165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035" w:firstLineChars="300"/>
        <w:textAlignment w:val="auto"/>
        <w:rPr>
          <w:rFonts w:ascii="楷体" w:hAnsi="楷体" w:eastAsia="楷体"/>
          <w:b/>
        </w:rPr>
      </w:pPr>
      <w:r>
        <w:rPr>
          <w:rFonts w:ascii="楷体" w:hAnsi="楷体" w:eastAsia="楷体"/>
          <w:b/>
        </w:rPr>
        <w:t>c</w:t>
      </w:r>
      <w:r>
        <w:rPr>
          <w:rFonts w:hint="eastAsia" w:ascii="楷体" w:hAnsi="楷体" w:eastAsia="楷体"/>
          <w:b/>
        </w:rPr>
        <w:t>．深圳通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rPr>
      </w:pPr>
      <w:r>
        <w:rPr>
          <w:rFonts w:ascii="楷体" w:hAnsi="楷体" w:eastAsia="楷体"/>
        </w:rPr>
        <w:drawing>
          <wp:anchor distT="0" distB="0" distL="114300" distR="114300" simplePos="0" relativeHeight="251664384" behindDoc="0" locked="0" layoutInCell="1" allowOverlap="1">
            <wp:simplePos x="0" y="0"/>
            <wp:positionH relativeFrom="column">
              <wp:posOffset>3377565</wp:posOffset>
            </wp:positionH>
            <wp:positionV relativeFrom="paragraph">
              <wp:posOffset>56515</wp:posOffset>
            </wp:positionV>
            <wp:extent cx="1520825" cy="1226185"/>
            <wp:effectExtent l="0" t="0" r="317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0940" cy="1226127"/>
                    </a:xfrm>
                    <a:prstGeom prst="rect">
                      <a:avLst/>
                    </a:prstGeom>
                  </pic:spPr>
                </pic:pic>
              </a:graphicData>
            </a:graphic>
          </wp:anchor>
        </w:drawing>
      </w:r>
      <w:r>
        <w:rPr>
          <w:rFonts w:ascii="楷体" w:hAnsi="楷体" w:eastAsia="楷体"/>
        </w:rPr>
        <w:drawing>
          <wp:anchor distT="0" distB="0" distL="114300" distR="114300" simplePos="0" relativeHeight="251663360" behindDoc="0" locked="0" layoutInCell="1" allowOverlap="1">
            <wp:simplePos x="0" y="0"/>
            <wp:positionH relativeFrom="column">
              <wp:posOffset>1456055</wp:posOffset>
            </wp:positionH>
            <wp:positionV relativeFrom="paragraph">
              <wp:posOffset>56515</wp:posOffset>
            </wp:positionV>
            <wp:extent cx="1583055" cy="13017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055" cy="1301750"/>
                    </a:xfrm>
                    <a:prstGeom prst="rect">
                      <a:avLst/>
                    </a:prstGeom>
                  </pic:spPr>
                </pic:pic>
              </a:graphicData>
            </a:graphic>
          </wp:anchor>
        </w:drawing>
      </w:r>
      <w:r>
        <w:rPr>
          <w:rFonts w:ascii="楷体" w:hAnsi="楷体" w:eastAsia="楷体"/>
        </w:rPr>
        <w:drawing>
          <wp:anchor distT="0" distB="0" distL="114300" distR="114300" simplePos="0" relativeHeight="251662336" behindDoc="0" locked="0" layoutInCell="1" allowOverlap="1">
            <wp:simplePos x="0" y="0"/>
            <wp:positionH relativeFrom="column">
              <wp:posOffset>-31750</wp:posOffset>
            </wp:positionH>
            <wp:positionV relativeFrom="paragraph">
              <wp:posOffset>62865</wp:posOffset>
            </wp:positionV>
            <wp:extent cx="1236345" cy="1260475"/>
            <wp:effectExtent l="0" t="0" r="190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6345" cy="1260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spacing w:line="280" w:lineRule="exact"/>
        <w:rPr>
          <w:rFonts w:ascii="楷体" w:hAnsi="楷体" w:eastAsia="楷体"/>
        </w:rPr>
      </w:pPr>
    </w:p>
    <w:p>
      <w:pPr>
        <w:pStyle w:val="5"/>
        <w:keepNext w:val="0"/>
        <w:keepLines w:val="0"/>
        <w:numPr>
          <w:ilvl w:val="0"/>
          <w:numId w:val="2"/>
        </w:numPr>
        <w:spacing w:line="240" w:lineRule="auto"/>
        <w:rPr>
          <w:rFonts w:ascii="楷体" w:hAnsi="楷体"/>
        </w:rPr>
      </w:pPr>
      <w:r>
        <w:rPr>
          <w:rFonts w:hint="eastAsia" w:ascii="楷体" w:hAnsi="楷体"/>
        </w:rPr>
        <w:t>住宿及费用</w:t>
      </w:r>
    </w:p>
    <w:p>
      <w:pPr>
        <w:pStyle w:val="16"/>
        <w:numPr>
          <w:ilvl w:val="0"/>
          <w:numId w:val="3"/>
        </w:numPr>
        <w:spacing w:line="280" w:lineRule="exact"/>
        <w:ind w:left="426" w:hanging="426" w:firstLineChars="0"/>
        <w:rPr>
          <w:rFonts w:ascii="楷体" w:hAnsi="楷体" w:eastAsia="楷体" w:cs="楷体"/>
          <w:szCs w:val="28"/>
        </w:rPr>
      </w:pPr>
      <w:r>
        <w:rPr>
          <w:rFonts w:hint="eastAsia" w:ascii="楷体" w:hAnsi="楷体" w:eastAsia="楷体" w:cs="楷体"/>
          <w:b/>
          <w:szCs w:val="28"/>
        </w:rPr>
        <w:t>入学报到时间：</w:t>
      </w:r>
      <w:r>
        <w:rPr>
          <w:rFonts w:hint="eastAsia" w:ascii="楷体" w:hAnsi="楷体" w:eastAsia="楷体" w:cs="楷体"/>
          <w:szCs w:val="28"/>
        </w:rPr>
        <w:t>按录取通知书要求报到。报到后，由志愿者带领同学们熟悉校园，办理相关手续。</w:t>
      </w:r>
    </w:p>
    <w:p>
      <w:pPr>
        <w:pStyle w:val="16"/>
        <w:numPr>
          <w:ilvl w:val="0"/>
          <w:numId w:val="3"/>
        </w:numPr>
        <w:spacing w:line="280" w:lineRule="exact"/>
        <w:ind w:left="426" w:hanging="426" w:firstLineChars="0"/>
        <w:rPr>
          <w:rFonts w:ascii="楷体" w:hAnsi="楷体" w:eastAsia="楷体" w:cs="楷体"/>
          <w:szCs w:val="28"/>
        </w:rPr>
      </w:pPr>
      <w:r>
        <w:rPr>
          <w:rFonts w:hint="eastAsia" w:ascii="楷体" w:hAnsi="楷体" w:eastAsia="楷体" w:cs="楷体"/>
          <w:b/>
          <w:szCs w:val="28"/>
        </w:rPr>
        <w:t>住宿</w:t>
      </w:r>
      <w:r>
        <w:rPr>
          <w:rFonts w:hint="eastAsia" w:ascii="楷体" w:hAnsi="楷体" w:eastAsia="楷体" w:cs="楷体"/>
          <w:szCs w:val="28"/>
        </w:rPr>
        <w:t>：统一安排入住宿舍楼,费用约为800元。</w:t>
      </w:r>
    </w:p>
    <w:p>
      <w:pPr>
        <w:pStyle w:val="16"/>
        <w:spacing w:line="280" w:lineRule="exact"/>
        <w:ind w:left="173" w:hanging="172" w:hangingChars="50"/>
        <w:rPr>
          <w:rFonts w:ascii="楷体" w:hAnsi="楷体"/>
        </w:rPr>
      </w:pPr>
      <w:r>
        <w:rPr>
          <w:rFonts w:hint="eastAsia" w:ascii="楷体" w:hAnsi="楷体" w:eastAsia="楷体" w:cs="楷体"/>
          <w:b/>
          <w:szCs w:val="28"/>
        </w:rPr>
        <w:t xml:space="preserve">        房价</w:t>
      </w:r>
      <w:r>
        <w:rPr>
          <w:rFonts w:ascii="楷体" w:hAnsi="楷体" w:eastAsia="楷体" w:cs="楷体"/>
          <w:b/>
          <w:szCs w:val="28"/>
        </w:rPr>
        <w:t>不含水电费，实际</w:t>
      </w:r>
      <w:r>
        <w:rPr>
          <w:rFonts w:hint="eastAsia" w:ascii="楷体" w:hAnsi="楷体" w:eastAsia="楷体" w:cs="楷体"/>
          <w:b/>
          <w:szCs w:val="28"/>
        </w:rPr>
        <w:t>价格</w:t>
      </w:r>
      <w:r>
        <w:rPr>
          <w:rFonts w:ascii="楷体" w:hAnsi="楷体" w:eastAsia="楷体" w:cs="楷体"/>
          <w:b/>
          <w:szCs w:val="28"/>
        </w:rPr>
        <w:t>按学校</w:t>
      </w:r>
      <w:r>
        <w:rPr>
          <w:rFonts w:hint="eastAsia" w:ascii="楷体" w:hAnsi="楷体" w:eastAsia="楷体" w:cs="楷体"/>
          <w:b/>
          <w:szCs w:val="28"/>
        </w:rPr>
        <w:t>当年</w:t>
      </w:r>
      <w:r>
        <w:rPr>
          <w:rFonts w:ascii="楷体" w:hAnsi="楷体" w:eastAsia="楷体" w:cs="楷体"/>
          <w:b/>
          <w:szCs w:val="28"/>
        </w:rPr>
        <w:t>标准执行</w:t>
      </w:r>
      <w:r>
        <w:rPr>
          <w:rFonts w:hint="eastAsia" w:ascii="楷体" w:hAnsi="楷体" w:eastAsia="楷体" w:cs="楷体"/>
          <w:b/>
          <w:szCs w:val="28"/>
        </w:rPr>
        <w:t>。</w:t>
      </w:r>
    </w:p>
    <w:p>
      <w:pPr>
        <w:pStyle w:val="5"/>
        <w:keepNext w:val="0"/>
        <w:keepLines w:val="0"/>
        <w:spacing w:line="415" w:lineRule="auto"/>
        <w:rPr>
          <w:rFonts w:cs="楷体"/>
          <w:szCs w:val="28"/>
        </w:rPr>
      </w:pPr>
      <w:r>
        <w:tab/>
      </w:r>
      <w:r>
        <w:rPr>
          <w:rFonts w:hint="eastAsia"/>
        </w:rPr>
        <w:t>六</w:t>
      </w:r>
      <w:bookmarkStart w:id="0" w:name="_GoBack"/>
      <w:bookmarkEnd w:id="0"/>
      <w:r>
        <w:rPr>
          <w:rFonts w:hint="eastAsia"/>
        </w:rPr>
        <w:t>、招生项目负责人联系方式</w:t>
      </w:r>
    </w:p>
    <w:tbl>
      <w:tblPr>
        <w:tblStyle w:val="11"/>
        <w:tblW w:w="9639"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277"/>
        <w:gridCol w:w="3591"/>
        <w:gridCol w:w="1682"/>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pPr>
              <w:spacing w:line="280" w:lineRule="exact"/>
              <w:rPr>
                <w:rFonts w:ascii="楷体" w:hAnsi="楷体" w:eastAsia="楷体"/>
              </w:rPr>
            </w:pPr>
            <w:r>
              <w:rPr>
                <w:rFonts w:hint="eastAsia" w:ascii="楷体" w:hAnsi="楷体" w:eastAsia="楷体"/>
              </w:rPr>
              <w:t>序号</w:t>
            </w:r>
          </w:p>
        </w:tc>
        <w:tc>
          <w:tcPr>
            <w:tcW w:w="1277" w:type="dxa"/>
          </w:tcPr>
          <w:p>
            <w:pPr>
              <w:spacing w:line="280" w:lineRule="exact"/>
              <w:jc w:val="center"/>
              <w:rPr>
                <w:rFonts w:ascii="楷体" w:hAnsi="楷体" w:eastAsia="楷体"/>
              </w:rPr>
            </w:pPr>
            <w:r>
              <w:rPr>
                <w:rFonts w:hint="eastAsia" w:ascii="楷体" w:hAnsi="楷体" w:eastAsia="楷体"/>
              </w:rPr>
              <w:t>姓名</w:t>
            </w:r>
          </w:p>
        </w:tc>
        <w:tc>
          <w:tcPr>
            <w:tcW w:w="3591" w:type="dxa"/>
          </w:tcPr>
          <w:p>
            <w:pPr>
              <w:spacing w:line="280" w:lineRule="exact"/>
              <w:jc w:val="center"/>
              <w:rPr>
                <w:rFonts w:ascii="楷体" w:hAnsi="楷体" w:eastAsia="楷体"/>
              </w:rPr>
            </w:pPr>
            <w:r>
              <w:rPr>
                <w:rFonts w:hint="eastAsia" w:ascii="楷体" w:hAnsi="楷体" w:eastAsia="楷体"/>
              </w:rPr>
              <w:t>职务</w:t>
            </w:r>
          </w:p>
        </w:tc>
        <w:tc>
          <w:tcPr>
            <w:tcW w:w="1682" w:type="dxa"/>
          </w:tcPr>
          <w:p>
            <w:pPr>
              <w:spacing w:line="280" w:lineRule="exact"/>
              <w:jc w:val="center"/>
              <w:rPr>
                <w:rFonts w:ascii="楷体" w:hAnsi="楷体" w:eastAsia="楷体"/>
              </w:rPr>
            </w:pPr>
            <w:r>
              <w:rPr>
                <w:rFonts w:hint="eastAsia" w:ascii="楷体" w:hAnsi="楷体" w:eastAsia="楷体"/>
              </w:rPr>
              <w:t>电话</w:t>
            </w:r>
          </w:p>
        </w:tc>
        <w:tc>
          <w:tcPr>
            <w:tcW w:w="2693" w:type="dxa"/>
          </w:tcPr>
          <w:p>
            <w:pPr>
              <w:spacing w:line="280" w:lineRule="exact"/>
              <w:jc w:val="center"/>
              <w:rPr>
                <w:rFonts w:ascii="楷体" w:hAnsi="楷体" w:eastAsia="楷体"/>
              </w:rPr>
            </w:pPr>
            <w:r>
              <w:rPr>
                <w:rFonts w:hint="eastAsia" w:ascii="楷体" w:hAnsi="楷体" w:eastAsia="楷体"/>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pPr>
              <w:spacing w:line="280" w:lineRule="exact"/>
              <w:rPr>
                <w:rFonts w:ascii="楷体" w:hAnsi="楷体" w:eastAsia="楷体"/>
              </w:rPr>
            </w:pPr>
            <w:r>
              <w:rPr>
                <w:rFonts w:hint="eastAsia" w:ascii="楷体" w:hAnsi="楷体" w:eastAsia="楷体"/>
              </w:rPr>
              <w:t>1</w:t>
            </w:r>
          </w:p>
        </w:tc>
        <w:tc>
          <w:tcPr>
            <w:tcW w:w="1277" w:type="dxa"/>
          </w:tcPr>
          <w:p>
            <w:pPr>
              <w:spacing w:line="280" w:lineRule="exact"/>
              <w:rPr>
                <w:rFonts w:ascii="楷体" w:hAnsi="楷体" w:eastAsia="楷体"/>
              </w:rPr>
            </w:pPr>
            <w:r>
              <w:rPr>
                <w:rFonts w:hint="eastAsia" w:ascii="楷体" w:hAnsi="楷体" w:eastAsia="楷体"/>
              </w:rPr>
              <w:t>雷声远</w:t>
            </w:r>
          </w:p>
        </w:tc>
        <w:tc>
          <w:tcPr>
            <w:tcW w:w="3591" w:type="dxa"/>
          </w:tcPr>
          <w:p>
            <w:pPr>
              <w:spacing w:line="280" w:lineRule="exact"/>
              <w:rPr>
                <w:rFonts w:ascii="楷体" w:hAnsi="楷体" w:eastAsia="楷体"/>
                <w:szCs w:val="24"/>
              </w:rPr>
            </w:pPr>
            <w:r>
              <w:rPr>
                <w:rFonts w:hint="eastAsia" w:ascii="楷体" w:hAnsi="楷体" w:eastAsia="楷体"/>
                <w:szCs w:val="24"/>
              </w:rPr>
              <w:t>港澳台事务办公室老师</w:t>
            </w:r>
          </w:p>
        </w:tc>
        <w:tc>
          <w:tcPr>
            <w:tcW w:w="1682" w:type="dxa"/>
          </w:tcPr>
          <w:p>
            <w:pPr>
              <w:spacing w:line="280" w:lineRule="exact"/>
              <w:rPr>
                <w:rFonts w:ascii="楷体" w:hAnsi="楷体" w:eastAsia="楷体"/>
              </w:rPr>
            </w:pPr>
            <w:r>
              <w:rPr>
                <w:rFonts w:hint="eastAsia" w:ascii="楷体" w:hAnsi="楷体" w:eastAsia="楷体"/>
              </w:rPr>
              <w:t>0755-</w:t>
            </w:r>
            <w:r>
              <w:rPr>
                <w:rFonts w:ascii="楷体" w:hAnsi="楷体" w:eastAsia="楷体"/>
              </w:rPr>
              <w:t>26536107</w:t>
            </w:r>
          </w:p>
        </w:tc>
        <w:tc>
          <w:tcPr>
            <w:tcW w:w="2693" w:type="dxa"/>
          </w:tcPr>
          <w:p>
            <w:pPr>
              <w:spacing w:line="280" w:lineRule="exact"/>
              <w:rPr>
                <w:rFonts w:ascii="楷体" w:hAnsi="楷体" w:eastAsia="楷体"/>
              </w:rPr>
            </w:pPr>
            <w:r>
              <w:rPr>
                <w:rFonts w:ascii="楷体" w:hAnsi="楷体" w:eastAsia="楷体"/>
              </w:rPr>
              <w:t>lsy</w:t>
            </w:r>
            <w:r>
              <w:rPr>
                <w:rFonts w:hint="eastAsia" w:ascii="楷体" w:hAnsi="楷体" w:eastAsia="楷体"/>
              </w:rPr>
              <w:t>@szu.edu.cn</w:t>
            </w:r>
          </w:p>
        </w:tc>
      </w:tr>
    </w:tbl>
    <w:p>
      <w:pPr>
        <w:spacing w:line="280" w:lineRule="exact"/>
        <w:rPr>
          <w:rFonts w:ascii="楷体" w:hAnsi="楷体" w:eastAsia="楷体"/>
          <w:b/>
        </w:rPr>
      </w:pPr>
    </w:p>
    <w:p>
      <w:pPr>
        <w:spacing w:line="280" w:lineRule="exact"/>
        <w:rPr>
          <w:rFonts w:ascii="楷体" w:hAnsi="楷体" w:eastAsia="楷体"/>
          <w:b/>
        </w:rPr>
      </w:pPr>
    </w:p>
    <w:p>
      <w:pPr>
        <w:spacing w:line="280" w:lineRule="exact"/>
        <w:jc w:val="right"/>
        <w:rPr>
          <w:rFonts w:ascii="楷体" w:hAnsi="楷体" w:eastAsia="楷体"/>
          <w:b/>
        </w:rPr>
      </w:pPr>
      <w:r>
        <w:rPr>
          <w:rFonts w:hint="eastAsia" w:ascii="楷体" w:hAnsi="楷体" w:eastAsia="楷体"/>
          <w:b/>
        </w:rPr>
        <w:t>深圳大学</w:t>
      </w:r>
      <w:r>
        <w:rPr>
          <w:rFonts w:ascii="楷体" w:hAnsi="楷体" w:eastAsia="楷体"/>
          <w:b/>
        </w:rPr>
        <w:t>港澳台事务办公室</w:t>
      </w:r>
    </w:p>
    <w:p>
      <w:pPr>
        <w:spacing w:line="280" w:lineRule="exact"/>
        <w:jc w:val="right"/>
        <w:rPr>
          <w:rFonts w:ascii="楷体" w:hAnsi="楷体" w:eastAsia="楷体"/>
          <w:b/>
        </w:rPr>
      </w:pPr>
      <w:r>
        <w:rPr>
          <w:rFonts w:ascii="楷体" w:hAnsi="楷体" w:eastAsia="楷体"/>
          <w:b/>
        </w:rPr>
        <w:t>202</w:t>
      </w:r>
      <w:r>
        <w:rPr>
          <w:rFonts w:hint="eastAsia" w:ascii="楷体" w:hAnsi="楷体" w:eastAsia="楷体"/>
          <w:b/>
          <w:lang w:val="en-US" w:eastAsia="zh-CN"/>
        </w:rPr>
        <w:t>2</w:t>
      </w:r>
      <w:r>
        <w:rPr>
          <w:rFonts w:ascii="楷体" w:hAnsi="楷体" w:eastAsia="楷体"/>
          <w:b/>
        </w:rPr>
        <w:t>年</w:t>
      </w:r>
      <w:r>
        <w:rPr>
          <w:rFonts w:hint="eastAsia" w:ascii="楷体" w:hAnsi="楷体" w:eastAsia="楷体"/>
          <w:b/>
          <w:lang w:val="en-US" w:eastAsia="zh-CN"/>
        </w:rPr>
        <w:t>3</w:t>
      </w:r>
      <w:r>
        <w:rPr>
          <w:rFonts w:ascii="楷体" w:hAnsi="楷体" w:eastAsia="楷体"/>
          <w:b/>
        </w:rPr>
        <w:t>月</w:t>
      </w:r>
      <w:r>
        <w:rPr>
          <w:rFonts w:hint="eastAsia" w:ascii="楷体" w:hAnsi="楷体" w:eastAsia="楷体"/>
          <w:b/>
          <w:lang w:val="en-US" w:eastAsia="zh-CN"/>
        </w:rPr>
        <w:t>9</w:t>
      </w:r>
      <w:r>
        <w:rPr>
          <w:rFonts w:ascii="楷体" w:hAnsi="楷体" w:eastAsia="楷体"/>
          <w:b/>
        </w:rPr>
        <w:t>日</w:t>
      </w:r>
    </w:p>
    <w:sectPr>
      <w:headerReference r:id="rId5" w:type="first"/>
      <w:headerReference r:id="rId3" w:type="default"/>
      <w:headerReference r:id="rId4" w:type="even"/>
      <w:pgSz w:w="11906" w:h="16838"/>
      <w:pgMar w:top="1440" w:right="1800" w:bottom="1440" w:left="1800" w:header="2098" w:footer="1588" w:gutter="0"/>
      <w:cols w:space="425" w:num="1"/>
      <w:docGrid w:type="linesAndChars" w:linePitch="579"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911412986" o:spid="_x0000_s2054" o:spt="75" type="#_x0000_t75" style="position:absolute;left:0pt;height:132.75pt;width:150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911412985" o:spid="_x0000_s2053" o:spt="75" type="#_x0000_t75" style="position:absolute;left:0pt;height:132.75pt;width:1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911412984" o:spid="_x0000_s2052" o:spt="75" type="#_x0000_t75" style="position:absolute;left:0pt;height:132.75pt;width:1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01083F"/>
    <w:multiLevelType w:val="multilevel"/>
    <w:tmpl w:val="3A01083F"/>
    <w:lvl w:ilvl="0" w:tentative="0">
      <w:start w:val="5"/>
      <w:numFmt w:val="japaneseCounting"/>
      <w:lvlText w:val="%1、"/>
      <w:lvlJc w:val="left"/>
      <w:pPr>
        <w:ind w:left="810" w:hanging="8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437BEC"/>
    <w:multiLevelType w:val="multilevel"/>
    <w:tmpl w:val="62437BEC"/>
    <w:lvl w:ilvl="0" w:tentative="0">
      <w:start w:val="2"/>
      <w:numFmt w:val="japaneseCounting"/>
      <w:lvlText w:val="%1、"/>
      <w:lvlJc w:val="left"/>
      <w:pPr>
        <w:ind w:left="810" w:hanging="810"/>
      </w:pPr>
      <w:rPr>
        <w:rFonts w:hint="default" w:eastAsia="楷体"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2D0D96"/>
    <w:multiLevelType w:val="multilevel"/>
    <w:tmpl w:val="752D0D96"/>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73"/>
  <w:drawingGridVerticalSpacing w:val="57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BEE"/>
    <w:rsid w:val="000103A6"/>
    <w:rsid w:val="00036AA5"/>
    <w:rsid w:val="00056BEE"/>
    <w:rsid w:val="0006520A"/>
    <w:rsid w:val="0009666A"/>
    <w:rsid w:val="000A6714"/>
    <w:rsid w:val="000E4460"/>
    <w:rsid w:val="000F56B4"/>
    <w:rsid w:val="001228DF"/>
    <w:rsid w:val="00132825"/>
    <w:rsid w:val="00136BAC"/>
    <w:rsid w:val="00187BD1"/>
    <w:rsid w:val="00251CE0"/>
    <w:rsid w:val="00284E7F"/>
    <w:rsid w:val="00287280"/>
    <w:rsid w:val="0029677D"/>
    <w:rsid w:val="002A36D6"/>
    <w:rsid w:val="002B27AF"/>
    <w:rsid w:val="002B7424"/>
    <w:rsid w:val="002E2FB3"/>
    <w:rsid w:val="00306007"/>
    <w:rsid w:val="00310E0E"/>
    <w:rsid w:val="00351EC1"/>
    <w:rsid w:val="0036613F"/>
    <w:rsid w:val="003A1C4E"/>
    <w:rsid w:val="003D66AD"/>
    <w:rsid w:val="00406812"/>
    <w:rsid w:val="0041779B"/>
    <w:rsid w:val="004221A2"/>
    <w:rsid w:val="00431DA4"/>
    <w:rsid w:val="00457C8D"/>
    <w:rsid w:val="00472148"/>
    <w:rsid w:val="00474B90"/>
    <w:rsid w:val="004C4C9C"/>
    <w:rsid w:val="004D35AC"/>
    <w:rsid w:val="005219E2"/>
    <w:rsid w:val="0058005B"/>
    <w:rsid w:val="0059027F"/>
    <w:rsid w:val="00591A2A"/>
    <w:rsid w:val="00595776"/>
    <w:rsid w:val="005A0202"/>
    <w:rsid w:val="005A6FBC"/>
    <w:rsid w:val="005A7DA9"/>
    <w:rsid w:val="005B44ED"/>
    <w:rsid w:val="005B72B4"/>
    <w:rsid w:val="00605B1C"/>
    <w:rsid w:val="0062399F"/>
    <w:rsid w:val="0062451A"/>
    <w:rsid w:val="006268F2"/>
    <w:rsid w:val="0065435C"/>
    <w:rsid w:val="006729FD"/>
    <w:rsid w:val="00682A5C"/>
    <w:rsid w:val="006B7EB2"/>
    <w:rsid w:val="007519A4"/>
    <w:rsid w:val="007A1489"/>
    <w:rsid w:val="007A4E57"/>
    <w:rsid w:val="007B0A96"/>
    <w:rsid w:val="007B4DC4"/>
    <w:rsid w:val="007C4C8F"/>
    <w:rsid w:val="007C533B"/>
    <w:rsid w:val="007E3012"/>
    <w:rsid w:val="00816003"/>
    <w:rsid w:val="00824BB0"/>
    <w:rsid w:val="00825A01"/>
    <w:rsid w:val="0084567F"/>
    <w:rsid w:val="00887811"/>
    <w:rsid w:val="008902DC"/>
    <w:rsid w:val="008A111D"/>
    <w:rsid w:val="008A4CD0"/>
    <w:rsid w:val="008B0FA7"/>
    <w:rsid w:val="008C589A"/>
    <w:rsid w:val="008E07A3"/>
    <w:rsid w:val="008E199C"/>
    <w:rsid w:val="009031DA"/>
    <w:rsid w:val="00917EA7"/>
    <w:rsid w:val="00936005"/>
    <w:rsid w:val="009664A2"/>
    <w:rsid w:val="009724B8"/>
    <w:rsid w:val="009757BE"/>
    <w:rsid w:val="009E200C"/>
    <w:rsid w:val="009E6DA5"/>
    <w:rsid w:val="009F2F6B"/>
    <w:rsid w:val="00A055B4"/>
    <w:rsid w:val="00A103ED"/>
    <w:rsid w:val="00A33F76"/>
    <w:rsid w:val="00A57048"/>
    <w:rsid w:val="00A658E4"/>
    <w:rsid w:val="00A8696E"/>
    <w:rsid w:val="00AB3D07"/>
    <w:rsid w:val="00AE2682"/>
    <w:rsid w:val="00AE694A"/>
    <w:rsid w:val="00AF5200"/>
    <w:rsid w:val="00B10A82"/>
    <w:rsid w:val="00B177B1"/>
    <w:rsid w:val="00B32F20"/>
    <w:rsid w:val="00B45926"/>
    <w:rsid w:val="00B62A37"/>
    <w:rsid w:val="00B67C03"/>
    <w:rsid w:val="00B7541B"/>
    <w:rsid w:val="00B82D6F"/>
    <w:rsid w:val="00B91544"/>
    <w:rsid w:val="00BB11DE"/>
    <w:rsid w:val="00BE3A96"/>
    <w:rsid w:val="00C038B3"/>
    <w:rsid w:val="00C25481"/>
    <w:rsid w:val="00C50098"/>
    <w:rsid w:val="00C54C48"/>
    <w:rsid w:val="00C62AB4"/>
    <w:rsid w:val="00C72691"/>
    <w:rsid w:val="00C72F1B"/>
    <w:rsid w:val="00C770F2"/>
    <w:rsid w:val="00C93CB2"/>
    <w:rsid w:val="00CE3B41"/>
    <w:rsid w:val="00CF2CDF"/>
    <w:rsid w:val="00D14255"/>
    <w:rsid w:val="00D46AD4"/>
    <w:rsid w:val="00D620E3"/>
    <w:rsid w:val="00D8772F"/>
    <w:rsid w:val="00D9285E"/>
    <w:rsid w:val="00DE784C"/>
    <w:rsid w:val="00E1297A"/>
    <w:rsid w:val="00E50EDA"/>
    <w:rsid w:val="00E5364E"/>
    <w:rsid w:val="00E56ABF"/>
    <w:rsid w:val="00EA122F"/>
    <w:rsid w:val="00ED34AC"/>
    <w:rsid w:val="00EE748F"/>
    <w:rsid w:val="00FA16FF"/>
    <w:rsid w:val="00FF16F5"/>
    <w:rsid w:val="00FF65A1"/>
    <w:rsid w:val="05433E84"/>
    <w:rsid w:val="1817520D"/>
    <w:rsid w:val="5EEB7F13"/>
    <w:rsid w:val="68AD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华文行楷" w:asciiTheme="minorHAnsi" w:hAnsiTheme="minorHAnsi" w:cstheme="minorBidi"/>
      <w:kern w:val="2"/>
      <w:sz w:val="24"/>
      <w:szCs w:val="22"/>
      <w:lang w:val="en-US" w:eastAsia="zh-CN" w:bidi="ar-SA"/>
    </w:rPr>
  </w:style>
  <w:style w:type="paragraph" w:styleId="2">
    <w:name w:val="heading 1"/>
    <w:basedOn w:val="3"/>
    <w:next w:val="1"/>
    <w:link w:val="15"/>
    <w:qFormat/>
    <w:uiPriority w:val="9"/>
    <w:pPr>
      <w:keepNext/>
      <w:keepLines/>
      <w:spacing w:before="340" w:after="330" w:line="578" w:lineRule="auto"/>
      <w:outlineLvl w:val="0"/>
    </w:pPr>
    <w:rPr>
      <w:rFonts w:eastAsia="方正小标宋简体"/>
      <w:b/>
      <w:bCs/>
      <w:kern w:val="44"/>
      <w:sz w:val="32"/>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unhideWhenUsed/>
    <w:qFormat/>
    <w:uiPriority w:val="9"/>
    <w:pPr>
      <w:keepNext/>
      <w:keepLines/>
      <w:spacing w:before="260" w:after="260" w:line="416" w:lineRule="auto"/>
      <w:jc w:val="center"/>
      <w:outlineLvl w:val="2"/>
    </w:pPr>
    <w:rPr>
      <w:rFonts w:eastAsia="楷体"/>
      <w:b/>
      <w:bCs/>
      <w:sz w:val="28"/>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6">
    <w:name w:val="Balloon Text"/>
    <w:basedOn w:val="1"/>
    <w:link w:val="22"/>
    <w:semiHidden/>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39"/>
    <w:rPr>
      <w:rFonts w:eastAsia="Adobe 仿宋 Std 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4">
    <w:name w:val="Hyperlink"/>
    <w:basedOn w:val="12"/>
    <w:qFormat/>
    <w:uiPriority w:val="0"/>
    <w:rPr>
      <w:rFonts w:hint="default" w:ascii="Times New Roman" w:hAnsi="Times New Roman" w:cs="Times New Roman"/>
      <w:color w:val="000000"/>
      <w:u w:val="none"/>
    </w:rPr>
  </w:style>
  <w:style w:type="character" w:customStyle="1" w:styleId="15">
    <w:name w:val="标题 1 Char"/>
    <w:basedOn w:val="12"/>
    <w:link w:val="2"/>
    <w:qFormat/>
    <w:uiPriority w:val="9"/>
    <w:rPr>
      <w:rFonts w:eastAsia="方正小标宋简体"/>
      <w:b/>
      <w:bCs/>
      <w:kern w:val="44"/>
      <w:sz w:val="32"/>
      <w:szCs w:val="44"/>
    </w:rPr>
  </w:style>
  <w:style w:type="paragraph" w:styleId="16">
    <w:name w:val="List Paragraph"/>
    <w:basedOn w:val="1"/>
    <w:qFormat/>
    <w:uiPriority w:val="34"/>
    <w:pPr>
      <w:ind w:firstLine="420" w:firstLineChars="200"/>
    </w:pPr>
  </w:style>
  <w:style w:type="character" w:customStyle="1" w:styleId="17">
    <w:name w:val="标题 3 Char"/>
    <w:basedOn w:val="12"/>
    <w:link w:val="5"/>
    <w:qFormat/>
    <w:uiPriority w:val="9"/>
    <w:rPr>
      <w:rFonts w:eastAsia="楷体"/>
      <w:b/>
      <w:bCs/>
      <w:sz w:val="28"/>
      <w:szCs w:val="32"/>
    </w:rPr>
  </w:style>
  <w:style w:type="character" w:customStyle="1" w:styleId="18">
    <w:name w:val="页眉 Char"/>
    <w:basedOn w:val="12"/>
    <w:link w:val="8"/>
    <w:qFormat/>
    <w:uiPriority w:val="99"/>
    <w:rPr>
      <w:rFonts w:eastAsia="华文行楷"/>
      <w:sz w:val="18"/>
      <w:szCs w:val="18"/>
    </w:rPr>
  </w:style>
  <w:style w:type="character" w:customStyle="1" w:styleId="19">
    <w:name w:val="页脚 Char"/>
    <w:basedOn w:val="12"/>
    <w:link w:val="7"/>
    <w:qFormat/>
    <w:uiPriority w:val="99"/>
    <w:rPr>
      <w:rFonts w:eastAsia="华文行楷"/>
      <w:sz w:val="18"/>
      <w:szCs w:val="18"/>
    </w:rPr>
  </w:style>
  <w:style w:type="character" w:customStyle="1" w:styleId="20">
    <w:name w:val="标题 2 Char"/>
    <w:basedOn w:val="12"/>
    <w:link w:val="4"/>
    <w:qFormat/>
    <w:uiPriority w:val="9"/>
    <w:rPr>
      <w:rFonts w:asciiTheme="majorHAnsi" w:hAnsiTheme="majorHAnsi" w:eastAsiaTheme="majorEastAsia" w:cstheme="majorBidi"/>
      <w:b/>
      <w:bCs/>
      <w:sz w:val="32"/>
      <w:szCs w:val="32"/>
    </w:rPr>
  </w:style>
  <w:style w:type="character" w:customStyle="1" w:styleId="21">
    <w:name w:val="未处理的提及1"/>
    <w:basedOn w:val="12"/>
    <w:semiHidden/>
    <w:unhideWhenUsed/>
    <w:qFormat/>
    <w:uiPriority w:val="99"/>
    <w:rPr>
      <w:color w:val="808080"/>
      <w:shd w:val="clear" w:color="auto" w:fill="E6E6E6"/>
    </w:rPr>
  </w:style>
  <w:style w:type="character" w:customStyle="1" w:styleId="22">
    <w:name w:val="批注框文本 Char"/>
    <w:basedOn w:val="12"/>
    <w:link w:val="6"/>
    <w:semiHidden/>
    <w:qFormat/>
    <w:uiPriority w:val="99"/>
    <w:rPr>
      <w:rFonts w:eastAsia="华文行楷"/>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498</Words>
  <Characters>2845</Characters>
  <Lines>23</Lines>
  <Paragraphs>6</Paragraphs>
  <TotalTime>1</TotalTime>
  <ScaleCrop>false</ScaleCrop>
  <LinksUpToDate>false</LinksUpToDate>
  <CharactersWithSpaces>3337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2020-01-06T04:47:00Z</dcterms:created>
  <dc:creator>328-pc1</dc:creator>
  <cp:lastModifiedBy>totoro</cp:lastModifiedBy>
  <cp:lastPrinted>2018-09-29T03:11:00Z</cp:lastPrinted>
  <dcterms:modified xsi:type="dcterms:W3CDTF">2022-03-09T08:59:17Z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BE9D5BC00029499E9E2AA37B1911666C</vt:lpwstr>
  </property>
</Properties>
</file>